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CF" w:rsidRPr="00F036CF" w:rsidRDefault="00F036CF" w:rsidP="00F036CF">
      <w:pPr>
        <w:spacing w:after="0" w:line="240" w:lineRule="auto"/>
        <w:ind w:left="-12"/>
        <w:outlineLvl w:val="0"/>
        <w:rPr>
          <w:rFonts w:ascii="Amatic SC" w:eastAsia="Times New Roman" w:hAnsi="Amatic SC" w:cs="Times New Roman"/>
          <w:b/>
          <w:bCs/>
          <w:caps/>
          <w:color w:val="179EDC"/>
          <w:kern w:val="36"/>
          <w:sz w:val="60"/>
          <w:szCs w:val="60"/>
          <w:lang w:eastAsia="cs-CZ"/>
        </w:rPr>
      </w:pPr>
      <w:r w:rsidRPr="00F036CF">
        <w:rPr>
          <w:rFonts w:ascii="Amatic SC" w:eastAsia="Times New Roman" w:hAnsi="Amatic SC" w:cs="Times New Roman"/>
          <w:b/>
          <w:bCs/>
          <w:caps/>
          <w:color w:val="179EDC"/>
          <w:kern w:val="36"/>
          <w:sz w:val="60"/>
          <w:szCs w:val="60"/>
          <w:lang w:eastAsia="cs-CZ"/>
        </w:rPr>
        <w:t>KDY A PRO KOHO SE OTEVŘOU MŠ?</w:t>
      </w:r>
    </w:p>
    <w:p w:rsidR="00F036CF" w:rsidRPr="00F036CF" w:rsidRDefault="00F036CF" w:rsidP="00F036C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036CF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Od 12. dubna 2021 budou v provozu:</w:t>
      </w:r>
    </w:p>
    <w:p w:rsidR="00F036CF" w:rsidRPr="00F036CF" w:rsidRDefault="00F036CF" w:rsidP="00F036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036CF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MŠ a třídy zřízené podle § 16 odst. 9 školského zákona (tzv. </w:t>
      </w:r>
      <w:r w:rsidRPr="00F036CF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speciální MŠ</w:t>
      </w:r>
      <w:r w:rsidRPr="00F036CF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)</w:t>
      </w:r>
      <w:r w:rsidRPr="00F036CF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pro všechny děti</w:t>
      </w:r>
      <w:r w:rsidRPr="00F036CF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.</w:t>
      </w:r>
    </w:p>
    <w:p w:rsidR="00F036CF" w:rsidRPr="00F036CF" w:rsidRDefault="00F036CF" w:rsidP="00F036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036CF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MŠ při zdravotnickém zařízení</w:t>
      </w:r>
      <w:r w:rsidRPr="00F036CF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,</w:t>
      </w:r>
    </w:p>
    <w:p w:rsidR="00F036CF" w:rsidRPr="00F036CF" w:rsidRDefault="00F036CF" w:rsidP="00F036C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036CF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Dále jsou v provozu </w:t>
      </w:r>
    </w:p>
    <w:p w:rsidR="00F036CF" w:rsidRPr="00F036CF" w:rsidRDefault="00F036CF" w:rsidP="00F036C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036CF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MŠ pro děti, pro které je předškolní vzdělávání povinné s tím, že mohou být vzdělávány pouze v neměnných skupinách nejvýše 15 dětí.</w:t>
      </w:r>
    </w:p>
    <w:p w:rsidR="00F036CF" w:rsidRPr="00F036CF" w:rsidRDefault="00F036CF" w:rsidP="00F036C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036CF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 MŠ, školních družinách a školních klubech můžou být také děti, jejichž zákonní zástupci jsou</w:t>
      </w:r>
      <w:r w:rsidRPr="00F036CF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:</w:t>
      </w:r>
    </w:p>
    <w:p w:rsidR="00F036CF" w:rsidRPr="00F036CF" w:rsidRDefault="00F036CF" w:rsidP="00F036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036CF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zdravotničtí pracovníci</w:t>
      </w:r>
      <w:r w:rsidRPr="00F036CF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 poskytovatelů zdravotních služeb,</w:t>
      </w:r>
    </w:p>
    <w:p w:rsidR="00F036CF" w:rsidRPr="00F036CF" w:rsidRDefault="00F036CF" w:rsidP="00F036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036CF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cs-CZ"/>
        </w:rPr>
        <w:t>pedagogickými pracovníky</w:t>
      </w:r>
      <w:r w:rsidRPr="00F036CF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, kteří zajišťují prezenční vzdělávání v mateřské škole, základní škole, školní družině, školním klubu, v oborech vzdělání Praktická škola jednoletá nebo Praktická škola dvouletá, nebo </w:t>
      </w:r>
    </w:p>
    <w:p w:rsidR="00F036CF" w:rsidRPr="00F036CF" w:rsidRDefault="00F036CF" w:rsidP="00F036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036CF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pedagogickými pracovníky školských zařízení pro výkon ústavní nebo ochranné výchovy,</w:t>
      </w:r>
    </w:p>
    <w:p w:rsidR="00F036CF" w:rsidRPr="00F036CF" w:rsidRDefault="00F036CF" w:rsidP="00F036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036CF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zaměstnanci bezpečnostních sborů,</w:t>
      </w:r>
    </w:p>
    <w:p w:rsidR="00F036CF" w:rsidRPr="00F036CF" w:rsidRDefault="00F036CF" w:rsidP="00F036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036CF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příslušníci ozbrojených sil, </w:t>
      </w:r>
    </w:p>
    <w:p w:rsidR="00F036CF" w:rsidRPr="00F036CF" w:rsidRDefault="00F036CF" w:rsidP="00F036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036CF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zaměstnanci orgánů ochrany veřejného zdraví, </w:t>
      </w:r>
    </w:p>
    <w:p w:rsidR="00F036CF" w:rsidRPr="00F036CF" w:rsidRDefault="00F036CF" w:rsidP="00F036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036CF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zaměstnanci uvedení v § 115 odst. 1 a další zaměstnanci v sociálních službách podle zákona č. 108/2006 Sb., o sociálních službách, ve znění pozdějších předpisů, </w:t>
      </w:r>
    </w:p>
    <w:p w:rsidR="00F036CF" w:rsidRPr="00F036CF" w:rsidRDefault="00F036CF" w:rsidP="00F036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036CF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zaměstnanci Úřadu práce České republiky,</w:t>
      </w:r>
    </w:p>
    <w:p w:rsidR="00F036CF" w:rsidRPr="00F036CF" w:rsidRDefault="00F036CF" w:rsidP="00F036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036CF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zaměstnanci České správy sociálního zabezpečení a okresních správ sociálního zabezpečení, </w:t>
      </w:r>
    </w:p>
    <w:p w:rsidR="00F036CF" w:rsidRPr="00F036CF" w:rsidRDefault="00F036CF" w:rsidP="00F036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036CF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zaměstnanci Finanční správy České republiky.</w:t>
      </w:r>
    </w:p>
    <w:p w:rsidR="00F036CF" w:rsidRPr="00F036CF" w:rsidRDefault="00F036CF" w:rsidP="00F036C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036CF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Pro tyto děti je vzdělávání organizováno buď </w:t>
      </w:r>
      <w:r w:rsidRPr="00F036CF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 samostatné neměnné skupině</w:t>
      </w:r>
      <w:r w:rsidRPr="00F036CF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nebo mohou být </w:t>
      </w:r>
      <w:r w:rsidRPr="00F036CF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zařazeny do skupiny</w:t>
      </w:r>
      <w:r w:rsidRPr="00F036CF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, ve které jsou vzdělávány děti, které plní povinné předškolní vzdělávání. V obou případech je nutné dodržet podmínku, že ve skupině je vzděláváno nejvýše 15 dětí.</w:t>
      </w:r>
    </w:p>
    <w:p w:rsidR="00F036CF" w:rsidRPr="00F036CF" w:rsidRDefault="00F036CF" w:rsidP="00F036CF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036CF">
        <w:rPr>
          <w:rFonts w:ascii="Georgia" w:eastAsia="Times New Roman" w:hAnsi="Georgia" w:cs="Times New Roman"/>
          <w:color w:val="FF0000"/>
          <w:sz w:val="24"/>
          <w:szCs w:val="24"/>
          <w:bdr w:val="none" w:sz="0" w:space="0" w:color="auto" w:frame="1"/>
          <w:lang w:eastAsia="cs-CZ"/>
        </w:rPr>
        <w:t>To znamená – pokud jste pedagog, zajišťujete prezenční vzdělávání v MŠ, máte čtyřleté dítě, můžete ho dát do jeho kmenové MŠ. Ta je povinna vám ho vzít</w:t>
      </w:r>
      <w:r w:rsidRPr="00F036CF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 </w:t>
      </w:r>
    </w:p>
    <w:p w:rsidR="00F036CF" w:rsidRPr="00F036CF" w:rsidRDefault="00F036CF" w:rsidP="00F036C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036CF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Uvedené informace vycházejí z </w:t>
      </w:r>
      <w:hyperlink r:id="rId6" w:history="1">
        <w:r w:rsidRPr="00F036CF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mimořádného opatření o omezení provozu škol a školských zařízení od 12. dubna</w:t>
        </w:r>
      </w:hyperlink>
    </w:p>
    <w:p w:rsidR="00F036CF" w:rsidRPr="00F036CF" w:rsidRDefault="00F036CF" w:rsidP="00F036C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036CF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 některých okresech se školy neotevřou v závislosti na epidemiologické situaci</w:t>
      </w:r>
      <w:r w:rsidRPr="00F036CF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(pravděpodobně Zlínský kraj).</w:t>
      </w:r>
    </w:p>
    <w:p w:rsidR="00F036CF" w:rsidRPr="00F036CF" w:rsidRDefault="00F036CF" w:rsidP="00F036CF">
      <w:pPr>
        <w:spacing w:after="0" w:line="240" w:lineRule="auto"/>
        <w:outlineLvl w:val="1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</w:pPr>
      <w:r w:rsidRPr="00F036CF"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  <w:t>DĚTSKÉ SKUPINY OD 12. DUBNA</w:t>
      </w:r>
    </w:p>
    <w:p w:rsidR="00F036CF" w:rsidRPr="00F036CF" w:rsidRDefault="00F036CF" w:rsidP="00F036CF">
      <w:pPr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036CF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Od 12. dubna do odvolání se omezuje poskytování služby péče o dítě v dětské skupině tak, že se v nich zakazuje přítomnost veřejnosti, s výjimkou dětské skupiny při zdravotnickém zařízení nebo zařízení sociálních služeb, nebo poskytování služby péče o dítě pro zaměstnance těchto zařízení.</w:t>
      </w:r>
    </w:p>
    <w:p w:rsidR="00F036CF" w:rsidRPr="00F036CF" w:rsidRDefault="00F036CF" w:rsidP="00F036CF">
      <w:pPr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036CF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ZDROJ: </w:t>
      </w:r>
      <w:hyperlink r:id="rId7" w:history="1">
        <w:r w:rsidRPr="00F036CF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Mimořádné opatření Ministerstva zdravotnictví o omezení provozu maloobchodu a služeb od 12. dubna</w:t>
        </w:r>
      </w:hyperlink>
    </w:p>
    <w:p w:rsidR="00F036CF" w:rsidRPr="00F036CF" w:rsidRDefault="00F036CF" w:rsidP="00F036CF">
      <w:pPr>
        <w:spacing w:after="0" w:line="240" w:lineRule="auto"/>
        <w:ind w:left="-12"/>
        <w:outlineLvl w:val="0"/>
        <w:rPr>
          <w:rFonts w:ascii="Amatic SC" w:eastAsia="Times New Roman" w:hAnsi="Amatic SC" w:cs="Times New Roman"/>
          <w:b/>
          <w:bCs/>
          <w:caps/>
          <w:color w:val="179EDC"/>
          <w:kern w:val="36"/>
          <w:sz w:val="60"/>
          <w:szCs w:val="60"/>
          <w:lang w:eastAsia="cs-CZ"/>
        </w:rPr>
      </w:pPr>
      <w:r w:rsidRPr="00F036CF">
        <w:rPr>
          <w:rFonts w:ascii="Amatic SC" w:eastAsia="Times New Roman" w:hAnsi="Amatic SC" w:cs="Times New Roman"/>
          <w:b/>
          <w:bCs/>
          <w:caps/>
          <w:color w:val="179EDC"/>
          <w:kern w:val="36"/>
          <w:sz w:val="60"/>
          <w:szCs w:val="60"/>
          <w:lang w:eastAsia="cs-CZ"/>
        </w:rPr>
        <w:t>JAK TO BUDE PROBÍHAT?</w:t>
      </w:r>
    </w:p>
    <w:p w:rsidR="00F036CF" w:rsidRPr="00F036CF" w:rsidRDefault="00F036CF" w:rsidP="00F036C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036CF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lastRenderedPageBreak/>
        <w:t>Provoz škol se upravuje tak, že </w:t>
      </w:r>
      <w:r w:rsidRPr="00F036CF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součástí vzdělávání není zpěv</w:t>
      </w:r>
      <w:r w:rsidRPr="00F036CF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, s výjimkou oborů středního a vyššího odborného vzdělávání a studijních programů vysokých škol, ve kterých je zpěv stěžejní součástí rámcového nebo akreditovaného vzdělávacího nebo studijního programu, a to za osobní přítomnosti nejvýše 6 žáků nebo studentů v místnosti.</w:t>
      </w:r>
    </w:p>
    <w:p w:rsidR="00F036CF" w:rsidRPr="00F036CF" w:rsidRDefault="00F036CF" w:rsidP="00F036C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036CF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MŠ už NEMAJÍ výjimku jako v předchozích opatřeních a zpívat se v nich tedy nemůže.</w:t>
      </w:r>
    </w:p>
    <w:p w:rsidR="00F036CF" w:rsidRPr="00F036CF" w:rsidRDefault="00F036CF" w:rsidP="00F036C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036CF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Pro sportovní činnost MŠ výjimku mají, sportovat se může.</w:t>
      </w:r>
    </w:p>
    <w:p w:rsidR="00F036CF" w:rsidRPr="00F036CF" w:rsidRDefault="00F036CF" w:rsidP="00F036C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F036CF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Vstup třetích osob do prostor školy</w:t>
      </w:r>
      <w:r w:rsidRPr="00F036CF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 je možný jen v nezbytně nutných případech, s tím, že se omezí kontakt třetích osob s osobami v prostorách školy. </w:t>
      </w:r>
      <w:r w:rsidRPr="00F036CF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Doprovod dítěte v MŠ může dítě doprovodit na testování.</w:t>
      </w:r>
    </w:p>
    <w:p w:rsidR="00DC0A88" w:rsidRDefault="00DC0A88">
      <w:bookmarkStart w:id="0" w:name="_GoBack"/>
      <w:bookmarkEnd w:id="0"/>
    </w:p>
    <w:sectPr w:rsidR="00DC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atic S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1F90"/>
    <w:multiLevelType w:val="multilevel"/>
    <w:tmpl w:val="3060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36665"/>
    <w:multiLevelType w:val="multilevel"/>
    <w:tmpl w:val="F370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CF"/>
    <w:rsid w:val="00DC0A88"/>
    <w:rsid w:val="00F0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zcr.cz/wp-content/uploads/2021/04/Mimo%C5%99%C3%A1dn%C3%A9-opat%C5%99en%C3%AD-omezen%C3%AD-obchodu-a-slu%C5%BEeb-s-%C3%BA%C4%8Dinnost%C3%AD-od-12.-4.-2021-do-odvol%C3%A1n%C3%A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zcr.cz/wp-content/uploads/2021/04/Mimo%C5%99%C3%A1dn%C3%A9-opat%C5%99en%C3%AD-opat%C5%99en%C3%AD-ve-%C5%A1kol%C3%A1ch-s-1.-f%C3%A1z%C3%AD-rozvoln%C4%9Bn%C3%AD-s-%C3%BA%C4%8Dinnost%C3%AD-od-12.-4.-2021-do-odvol%C3%A1n%C3%A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Bryscejnova</dc:creator>
  <cp:lastModifiedBy>Blanka Bryscejnova</cp:lastModifiedBy>
  <cp:revision>1</cp:revision>
  <dcterms:created xsi:type="dcterms:W3CDTF">2021-04-07T10:13:00Z</dcterms:created>
  <dcterms:modified xsi:type="dcterms:W3CDTF">2021-04-07T10:13:00Z</dcterms:modified>
</cp:coreProperties>
</file>